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6F" w:rsidRPr="00F2776F" w:rsidRDefault="00F2776F" w:rsidP="00F2776F">
      <w:pPr>
        <w:jc w:val="left"/>
        <w:rPr>
          <w:rFonts w:ascii="黑体" w:eastAsia="黑体" w:hAnsi="黑体"/>
        </w:rPr>
      </w:pPr>
      <w:r w:rsidRPr="00F2776F">
        <w:rPr>
          <w:rFonts w:ascii="黑体" w:eastAsia="黑体" w:hAnsi="黑体" w:hint="eastAsia"/>
        </w:rPr>
        <w:t>附件1：优秀案例评分参考标准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82"/>
        <w:gridCol w:w="7485"/>
      </w:tblGrid>
      <w:tr w:rsidR="00486388" w:rsidRPr="00F2776F" w:rsidTr="00486388">
        <w:trPr>
          <w:trHeight w:val="637"/>
        </w:trPr>
        <w:tc>
          <w:tcPr>
            <w:tcW w:w="1582" w:type="dxa"/>
            <w:vAlign w:val="center"/>
          </w:tcPr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指标</w:t>
            </w:r>
            <w: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项</w:t>
            </w:r>
          </w:p>
        </w:tc>
        <w:tc>
          <w:tcPr>
            <w:tcW w:w="7485" w:type="dxa"/>
            <w:vAlign w:val="center"/>
          </w:tcPr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指标说明</w:t>
            </w:r>
          </w:p>
        </w:tc>
      </w:tr>
      <w:tr w:rsidR="00486388" w:rsidRPr="00F2776F" w:rsidTr="00486388">
        <w:trPr>
          <w:trHeight w:val="2837"/>
        </w:trPr>
        <w:tc>
          <w:tcPr>
            <w:tcW w:w="1582" w:type="dxa"/>
            <w:vAlign w:val="center"/>
          </w:tcPr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案例选题</w:t>
            </w:r>
          </w:p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（20分）</w:t>
            </w:r>
          </w:p>
        </w:tc>
        <w:tc>
          <w:tcPr>
            <w:tcW w:w="7485" w:type="dxa"/>
            <w:vAlign w:val="center"/>
          </w:tcPr>
          <w:p w:rsidR="00486388" w:rsidRPr="00F2776F" w:rsidRDefault="00486388" w:rsidP="00F2776F">
            <w:pPr>
              <w:spacing w:line="40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1.案例能充分展示</w:t>
            </w:r>
            <w:r>
              <w:rPr>
                <w:rFonts w:ascii="宋体" w:hAnsi="宋体" w:cstheme="minorBidi" w:hint="eastAsia"/>
                <w:kern w:val="2"/>
                <w:sz w:val="24"/>
                <w:szCs w:val="24"/>
              </w:rPr>
              <w:t>学校</w:t>
            </w: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在疫情防控期间积极开展教学工作，全力保证网络教学质量的良好精神风貌；</w:t>
            </w:r>
          </w:p>
          <w:p w:rsidR="00486388" w:rsidRPr="00F2776F" w:rsidRDefault="00486388" w:rsidP="00F2776F">
            <w:pPr>
              <w:spacing w:line="40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2.案例能展示教师结合疫情深入推进课程思政工作、将宣传疫情防控知识与讲授教学知识密切结合以及通过线上课程、网络直播、平台互动等多种形式生动有效地开展教学活动的良好教学氛围；</w:t>
            </w:r>
          </w:p>
          <w:p w:rsidR="00486388" w:rsidRPr="00F2776F" w:rsidRDefault="00486388" w:rsidP="00F2776F">
            <w:pPr>
              <w:spacing w:line="40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3.案例选题具一定的代表性和特色，能够有效解决教与学过程中的重点、难点、疑点问题。</w:t>
            </w:r>
          </w:p>
        </w:tc>
      </w:tr>
      <w:tr w:rsidR="00486388" w:rsidRPr="00F2776F" w:rsidTr="00486388">
        <w:tc>
          <w:tcPr>
            <w:tcW w:w="1582" w:type="dxa"/>
            <w:vAlign w:val="center"/>
          </w:tcPr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教学内容</w:t>
            </w:r>
          </w:p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（20分）</w:t>
            </w:r>
          </w:p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7485" w:type="dxa"/>
            <w:vAlign w:val="center"/>
          </w:tcPr>
          <w:p w:rsidR="00486388" w:rsidRPr="00F2776F" w:rsidRDefault="00486388" w:rsidP="00F2776F">
            <w:pPr>
              <w:spacing w:line="40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1.教学内容无科学性、思想性方面</w:t>
            </w:r>
            <w:r>
              <w:rPr>
                <w:rFonts w:ascii="宋体" w:hAnsi="宋体" w:cstheme="minorBidi" w:hint="eastAsia"/>
                <w:kern w:val="2"/>
                <w:sz w:val="24"/>
                <w:szCs w:val="24"/>
              </w:rPr>
              <w:t>的</w:t>
            </w: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错误；</w:t>
            </w:r>
          </w:p>
          <w:p w:rsidR="00486388" w:rsidRPr="00F2776F" w:rsidRDefault="00486388" w:rsidP="00F2776F">
            <w:pPr>
              <w:spacing w:line="40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2.具有明确的教学目标，教学内容科学严谨，能围绕某个知识点、教学环节等有效开展教学；</w:t>
            </w:r>
          </w:p>
          <w:p w:rsidR="00486388" w:rsidRPr="00F2776F" w:rsidRDefault="00486388" w:rsidP="00F2776F">
            <w:pPr>
              <w:spacing w:line="40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3.</w:t>
            </w:r>
            <w:r w:rsidRPr="00486388">
              <w:rPr>
                <w:rFonts w:ascii="宋体" w:hAnsi="宋体" w:cstheme="minorBidi" w:hint="eastAsia"/>
                <w:kern w:val="2"/>
                <w:sz w:val="24"/>
                <w:szCs w:val="24"/>
              </w:rPr>
              <w:t>能较好反映或联系学科发展新思想、新概念、新成果，服务于课程目标和毕业要求。</w:t>
            </w:r>
          </w:p>
        </w:tc>
      </w:tr>
      <w:tr w:rsidR="00486388" w:rsidRPr="00F2776F" w:rsidTr="00486388">
        <w:trPr>
          <w:trHeight w:val="3218"/>
        </w:trPr>
        <w:tc>
          <w:tcPr>
            <w:tcW w:w="1582" w:type="dxa"/>
            <w:vAlign w:val="center"/>
          </w:tcPr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教学</w:t>
            </w:r>
            <w:r>
              <w:rPr>
                <w:rFonts w:ascii="宋体" w:hAnsi="宋体" w:cstheme="minorBidi" w:hint="eastAsia"/>
                <w:kern w:val="2"/>
                <w:sz w:val="24"/>
                <w:szCs w:val="24"/>
              </w:rPr>
              <w:t>组织</w:t>
            </w:r>
          </w:p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（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>20</w:t>
            </w: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分）</w:t>
            </w:r>
          </w:p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7485" w:type="dxa"/>
            <w:vAlign w:val="center"/>
          </w:tcPr>
          <w:p w:rsidR="00486388" w:rsidRPr="00486388" w:rsidRDefault="00486388" w:rsidP="00486388">
            <w:pPr>
              <w:spacing w:line="400" w:lineRule="exact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kern w:val="2"/>
                <w:sz w:val="24"/>
                <w:szCs w:val="24"/>
              </w:rPr>
              <w:t>1.</w:t>
            </w:r>
            <w:r w:rsidRPr="00486388">
              <w:rPr>
                <w:rFonts w:ascii="宋体" w:hAnsi="宋体" w:cstheme="minorBidi" w:hint="eastAsia"/>
                <w:kern w:val="2"/>
                <w:sz w:val="24"/>
                <w:szCs w:val="24"/>
              </w:rPr>
              <w:t>教学过程安排合理，能体现在线课程特点，线上资源应用得当，方法运用灵活，启发性强，能有效启发学生思维、调动学习积极性。</w:t>
            </w:r>
          </w:p>
          <w:p w:rsidR="00486388" w:rsidRPr="00486388" w:rsidRDefault="00486388" w:rsidP="00486388">
            <w:pPr>
              <w:spacing w:line="400" w:lineRule="exact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2.</w:t>
            </w:r>
            <w:r w:rsidRPr="00486388">
              <w:rPr>
                <w:rFonts w:ascii="宋体" w:hAnsi="宋体" w:cstheme="minorBidi" w:hint="eastAsia"/>
                <w:kern w:val="2"/>
                <w:sz w:val="24"/>
                <w:szCs w:val="24"/>
              </w:rPr>
              <w:t>在线教学的教学互动安排合理，学生参与度高，教学时间安排合理，课堂应变能力强。</w:t>
            </w:r>
          </w:p>
          <w:p w:rsidR="00486388" w:rsidRPr="00486388" w:rsidRDefault="00486388" w:rsidP="00486388">
            <w:pPr>
              <w:spacing w:line="400" w:lineRule="exact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kern w:val="2"/>
                <w:sz w:val="24"/>
                <w:szCs w:val="24"/>
              </w:rPr>
              <w:t>3.</w:t>
            </w:r>
            <w:r w:rsidRPr="00486388">
              <w:rPr>
                <w:rFonts w:ascii="宋体" w:hAnsi="宋体" w:cstheme="minorBidi" w:hint="eastAsia"/>
                <w:kern w:val="2"/>
                <w:sz w:val="24"/>
                <w:szCs w:val="24"/>
              </w:rPr>
              <w:t>随堂测验、课后作业设计与教学内容紧密联系、结构合理，教学互动与多媒体资源相配合，实时解答学生提问。</w:t>
            </w:r>
          </w:p>
          <w:p w:rsidR="00486388" w:rsidRPr="00F2776F" w:rsidRDefault="00486388" w:rsidP="00486388">
            <w:pPr>
              <w:spacing w:line="40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4.</w:t>
            </w:r>
            <w:r w:rsidRPr="00486388">
              <w:rPr>
                <w:rFonts w:ascii="宋体" w:hAnsi="宋体" w:cstheme="minorBidi" w:hint="eastAsia"/>
                <w:kern w:val="2"/>
                <w:sz w:val="24"/>
                <w:szCs w:val="24"/>
              </w:rPr>
              <w:t>线上教学过程的重点突出，条理清楚，内容承前启后，循序渐进，能</w:t>
            </w:r>
            <w:proofErr w:type="gramStart"/>
            <w:r w:rsidRPr="00486388">
              <w:rPr>
                <w:rFonts w:ascii="宋体" w:hAnsi="宋体" w:cstheme="minorBidi" w:hint="eastAsia"/>
                <w:kern w:val="2"/>
                <w:sz w:val="24"/>
                <w:szCs w:val="24"/>
              </w:rPr>
              <w:t>体现线</w:t>
            </w:r>
            <w:proofErr w:type="gramEnd"/>
            <w:r w:rsidRPr="00486388">
              <w:rPr>
                <w:rFonts w:ascii="宋体" w:hAnsi="宋体" w:cstheme="minorBidi" w:hint="eastAsia"/>
                <w:kern w:val="2"/>
                <w:sz w:val="24"/>
                <w:szCs w:val="24"/>
              </w:rPr>
              <w:t>上教学的互动性。</w:t>
            </w:r>
          </w:p>
        </w:tc>
      </w:tr>
      <w:tr w:rsidR="00486388" w:rsidRPr="00F2776F" w:rsidTr="00486388">
        <w:tc>
          <w:tcPr>
            <w:tcW w:w="1582" w:type="dxa"/>
            <w:vAlign w:val="center"/>
          </w:tcPr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kern w:val="2"/>
                <w:sz w:val="24"/>
                <w:szCs w:val="24"/>
              </w:rPr>
              <w:t>教学成效</w:t>
            </w:r>
          </w:p>
          <w:p w:rsidR="00486388" w:rsidRPr="00F2776F" w:rsidRDefault="00486388" w:rsidP="00486388">
            <w:pPr>
              <w:spacing w:line="400" w:lineRule="exact"/>
              <w:jc w:val="center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（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>20</w:t>
            </w:r>
            <w:r w:rsidRPr="00F2776F">
              <w:rPr>
                <w:rFonts w:ascii="宋体" w:hAnsi="宋体" w:cstheme="minorBidi" w:hint="eastAsia"/>
                <w:kern w:val="2"/>
                <w:sz w:val="24"/>
                <w:szCs w:val="24"/>
              </w:rPr>
              <w:t>分）</w:t>
            </w:r>
          </w:p>
        </w:tc>
        <w:tc>
          <w:tcPr>
            <w:tcW w:w="7485" w:type="dxa"/>
            <w:vAlign w:val="center"/>
          </w:tcPr>
          <w:p w:rsidR="00486388" w:rsidRPr="00486388" w:rsidRDefault="00486388" w:rsidP="00486388">
            <w:pPr>
              <w:spacing w:line="400" w:lineRule="exact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kern w:val="2"/>
                <w:sz w:val="24"/>
                <w:szCs w:val="24"/>
              </w:rPr>
              <w:t>1.</w:t>
            </w:r>
            <w:r w:rsidRPr="00486388">
              <w:rPr>
                <w:rFonts w:ascii="宋体" w:hAnsi="宋体" w:cstheme="minorBidi" w:hint="eastAsia"/>
                <w:kern w:val="2"/>
                <w:sz w:val="24"/>
                <w:szCs w:val="24"/>
              </w:rPr>
              <w:t>教师教学理念先进、风格突出、感染力强、教学效果好。</w:t>
            </w:r>
          </w:p>
          <w:p w:rsidR="00486388" w:rsidRPr="00F2776F" w:rsidRDefault="00486388" w:rsidP="00486388">
            <w:pPr>
              <w:spacing w:line="40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2.</w:t>
            </w:r>
            <w:r w:rsidRPr="00486388">
              <w:rPr>
                <w:rFonts w:ascii="宋体" w:hAnsi="宋体" w:cstheme="minorBidi" w:hint="eastAsia"/>
                <w:kern w:val="2"/>
                <w:sz w:val="24"/>
                <w:szCs w:val="24"/>
              </w:rPr>
              <w:t>学生积极参与、教学互动性强、学生能够较好地完成学习目标。</w:t>
            </w:r>
          </w:p>
        </w:tc>
      </w:tr>
      <w:tr w:rsidR="00486388" w:rsidRPr="00F2776F" w:rsidTr="00486388">
        <w:tc>
          <w:tcPr>
            <w:tcW w:w="1582" w:type="dxa"/>
            <w:vAlign w:val="center"/>
          </w:tcPr>
          <w:p w:rsidR="00486388" w:rsidRDefault="00486388" w:rsidP="00F2776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改革</w:t>
            </w:r>
            <w:r>
              <w:rPr>
                <w:rFonts w:ascii="宋体" w:hAnsi="宋体"/>
                <w:sz w:val="24"/>
                <w:szCs w:val="24"/>
              </w:rPr>
              <w:t>创新</w:t>
            </w:r>
          </w:p>
          <w:p w:rsidR="00486388" w:rsidRPr="00F2776F" w:rsidRDefault="00486388" w:rsidP="00F2776F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（20分）</w:t>
            </w:r>
          </w:p>
        </w:tc>
        <w:tc>
          <w:tcPr>
            <w:tcW w:w="7485" w:type="dxa"/>
            <w:vAlign w:val="center"/>
          </w:tcPr>
          <w:p w:rsidR="00486388" w:rsidRPr="00486388" w:rsidRDefault="00486388" w:rsidP="00486388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 w:rsidRPr="00486388">
              <w:rPr>
                <w:rFonts w:ascii="宋体" w:hAnsi="宋体" w:hint="eastAsia"/>
                <w:sz w:val="24"/>
                <w:szCs w:val="24"/>
              </w:rPr>
              <w:t>能够根据线上课程的教学特点，从教学理念、教学方法、教学过程三方面着手，保证在线学习与线下课堂教学质量实质等效。</w:t>
            </w:r>
          </w:p>
          <w:p w:rsidR="00486388" w:rsidRPr="00486388" w:rsidRDefault="00486388" w:rsidP="00486388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 w:rsidRPr="00486388">
              <w:rPr>
                <w:rFonts w:ascii="宋体" w:hAnsi="宋体" w:hint="eastAsia"/>
                <w:sz w:val="24"/>
                <w:szCs w:val="24"/>
              </w:rPr>
              <w:t>能够以信息技术与教育教学深度整合进行教与学的改革创新，推动学习方式变革，关注学习成效。</w:t>
            </w:r>
          </w:p>
          <w:p w:rsidR="00486388" w:rsidRPr="00F2776F" w:rsidRDefault="00486388" w:rsidP="00486388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bookmarkStart w:id="0" w:name="_GoBack"/>
            <w:bookmarkEnd w:id="0"/>
            <w:r w:rsidRPr="00486388">
              <w:rPr>
                <w:rFonts w:ascii="宋体" w:hAnsi="宋体" w:hint="eastAsia"/>
                <w:sz w:val="24"/>
                <w:szCs w:val="24"/>
              </w:rPr>
              <w:t>能够在课程思政教学改革方面做好教学设计。</w:t>
            </w:r>
          </w:p>
        </w:tc>
      </w:tr>
    </w:tbl>
    <w:p w:rsidR="0056275D" w:rsidRPr="00F2776F" w:rsidRDefault="00486388"/>
    <w:sectPr w:rsidR="0056275D" w:rsidRPr="00F2776F" w:rsidSect="009D64D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6F"/>
    <w:rsid w:val="0020380A"/>
    <w:rsid w:val="00486388"/>
    <w:rsid w:val="008406A9"/>
    <w:rsid w:val="009D64D0"/>
    <w:rsid w:val="00C37ED6"/>
    <w:rsid w:val="00D04E37"/>
    <w:rsid w:val="00F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07B8"/>
  <w15:chartTrackingRefBased/>
  <w15:docId w15:val="{1844EA4C-1F7B-44C3-9B36-3D5DE7A9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2776F"/>
    <w:pPr>
      <w:widowControl w:val="0"/>
      <w:jc w:val="both"/>
    </w:pPr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2</cp:revision>
  <dcterms:created xsi:type="dcterms:W3CDTF">2020-04-02T01:21:00Z</dcterms:created>
  <dcterms:modified xsi:type="dcterms:W3CDTF">2020-04-02T01:32:00Z</dcterms:modified>
</cp:coreProperties>
</file>